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4A0" w:firstRow="1" w:lastRow="0" w:firstColumn="1" w:lastColumn="0" w:noHBand="0" w:noVBand="1"/>
      </w:tblPr>
      <w:tblGrid>
        <w:gridCol w:w="2254"/>
        <w:gridCol w:w="6746"/>
      </w:tblGrid>
      <w:tr w:rsidR="00525553">
        <w:tblPrEx>
          <w:tblCellMar>
            <w:top w:w="0" w:type="dxa"/>
            <w:bottom w:w="0" w:type="dxa"/>
          </w:tblCellMar>
        </w:tblPrEx>
        <w:trPr>
          <w:tblCellSpacing w:w="60" w:type="dxa"/>
        </w:trPr>
        <w:tc>
          <w:tcPr>
            <w:tcW w:w="1200" w:type="pct"/>
            <w:shd w:val="clear" w:color="auto" w:fill="E7F0F9"/>
          </w:tcPr>
          <w:p w:rsidR="00525553" w:rsidRDefault="008D3037">
            <w:pPr>
              <w:spacing w:after="0" w:line="240" w:lineRule="auto"/>
            </w:pPr>
            <w:bookmarkStart w:id="0" w:name="_GoBack"/>
            <w:bookmarkEnd w:id="0"/>
            <w:r>
              <w:rPr>
                <w:b/>
              </w:rPr>
              <w:t>RKP broj</w:t>
            </w:r>
          </w:p>
        </w:tc>
        <w:tc>
          <w:tcPr>
            <w:tcW w:w="0" w:type="auto"/>
            <w:shd w:val="clear" w:color="auto" w:fill="E7F0F9"/>
          </w:tcPr>
          <w:p w:rsidR="00525553" w:rsidRDefault="008D3037">
            <w:pPr>
              <w:spacing w:after="0" w:line="240" w:lineRule="auto"/>
            </w:pPr>
            <w:r>
              <w:t>44565</w:t>
            </w:r>
          </w:p>
        </w:tc>
      </w:tr>
      <w:tr w:rsidR="00525553">
        <w:tblPrEx>
          <w:tblCellMar>
            <w:top w:w="0" w:type="dxa"/>
            <w:bottom w:w="0" w:type="dxa"/>
          </w:tblCellMar>
        </w:tblPrEx>
        <w:trPr>
          <w:tblCellSpacing w:w="60" w:type="dxa"/>
        </w:trPr>
        <w:tc>
          <w:tcPr>
            <w:tcW w:w="1200" w:type="pct"/>
            <w:shd w:val="clear" w:color="auto" w:fill="E7F0F9"/>
          </w:tcPr>
          <w:p w:rsidR="00525553" w:rsidRDefault="008D3037">
            <w:pPr>
              <w:spacing w:after="0" w:line="240" w:lineRule="auto"/>
            </w:pPr>
            <w:r>
              <w:rPr>
                <w:b/>
              </w:rPr>
              <w:t>Naziv obveznika</w:t>
            </w:r>
          </w:p>
        </w:tc>
        <w:tc>
          <w:tcPr>
            <w:tcW w:w="0" w:type="auto"/>
            <w:shd w:val="clear" w:color="auto" w:fill="E7F0F9"/>
          </w:tcPr>
          <w:p w:rsidR="00525553" w:rsidRDefault="008D3037">
            <w:pPr>
              <w:spacing w:after="0" w:line="240" w:lineRule="auto"/>
            </w:pPr>
            <w:r>
              <w:t>HRVATSKA AGENCIJA ZA POLJOPRIVREDU I HRANU</w:t>
            </w:r>
          </w:p>
        </w:tc>
      </w:tr>
      <w:tr w:rsidR="00525553">
        <w:tblPrEx>
          <w:tblCellMar>
            <w:top w:w="0" w:type="dxa"/>
            <w:bottom w:w="0" w:type="dxa"/>
          </w:tblCellMar>
        </w:tblPrEx>
        <w:trPr>
          <w:tblCellSpacing w:w="60" w:type="dxa"/>
        </w:trPr>
        <w:tc>
          <w:tcPr>
            <w:tcW w:w="1200" w:type="pct"/>
            <w:shd w:val="clear" w:color="auto" w:fill="E7F0F9"/>
          </w:tcPr>
          <w:p w:rsidR="00525553" w:rsidRDefault="008D3037">
            <w:pPr>
              <w:spacing w:after="0" w:line="240" w:lineRule="auto"/>
            </w:pPr>
            <w:r>
              <w:rPr>
                <w:b/>
              </w:rPr>
              <w:t>Razina</w:t>
            </w:r>
          </w:p>
        </w:tc>
        <w:tc>
          <w:tcPr>
            <w:tcW w:w="0" w:type="auto"/>
            <w:shd w:val="clear" w:color="auto" w:fill="E7F0F9"/>
          </w:tcPr>
          <w:p w:rsidR="00525553" w:rsidRDefault="008D3037">
            <w:pPr>
              <w:spacing w:after="0" w:line="240" w:lineRule="auto"/>
            </w:pPr>
            <w:r>
              <w:t>11</w:t>
            </w:r>
          </w:p>
        </w:tc>
      </w:tr>
    </w:tbl>
    <w:p w:rsidR="00525553" w:rsidRDefault="008D3037">
      <w:r>
        <w:br/>
      </w:r>
    </w:p>
    <w:p w:rsidR="00525553" w:rsidRDefault="008D3037">
      <w:pPr>
        <w:spacing w:line="240" w:lineRule="auto"/>
        <w:jc w:val="center"/>
      </w:pPr>
      <w:r>
        <w:rPr>
          <w:b/>
          <w:sz w:val="28"/>
        </w:rPr>
        <w:t>BILJEŠKE UZ FINANCIJSKE IZVJEŠTAJE</w:t>
      </w:r>
    </w:p>
    <w:p w:rsidR="00525553" w:rsidRDefault="008D3037">
      <w:pPr>
        <w:spacing w:line="240" w:lineRule="auto"/>
        <w:jc w:val="center"/>
      </w:pPr>
      <w:r>
        <w:rPr>
          <w:b/>
          <w:sz w:val="28"/>
        </w:rPr>
        <w:t>ZA RAZDOBLJE</w:t>
      </w:r>
    </w:p>
    <w:p w:rsidR="00525553" w:rsidRDefault="008D3037">
      <w:pPr>
        <w:spacing w:line="240" w:lineRule="auto"/>
        <w:jc w:val="center"/>
      </w:pPr>
      <w:r>
        <w:rPr>
          <w:b/>
          <w:sz w:val="28"/>
        </w:rPr>
        <w:t>I - VI 2025.</w:t>
      </w:r>
    </w:p>
    <w:p w:rsidR="00525553" w:rsidRDefault="00525553"/>
    <w:p w:rsidR="00525553" w:rsidRDefault="008D3037">
      <w:pPr>
        <w:keepNext/>
        <w:spacing w:line="240" w:lineRule="auto"/>
        <w:jc w:val="center"/>
      </w:pPr>
      <w:r>
        <w:rPr>
          <w:b/>
          <w:sz w:val="28"/>
        </w:rPr>
        <w:t>Izvještaj o prihodima i rashodima, primicima i izdacima</w:t>
      </w:r>
    </w:p>
    <w:p w:rsidR="00525553" w:rsidRDefault="008D3037">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525553">
        <w:tblPrEx>
          <w:tblCellMar>
            <w:top w:w="0" w:type="dxa"/>
            <w:bottom w:w="0" w:type="dxa"/>
          </w:tblCellMar>
        </w:tblPrEx>
        <w:trPr>
          <w:cantSplit/>
        </w:trPr>
        <w:tc>
          <w:tcPr>
            <w:tcW w:w="70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Indeks (%)</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8D3037">
            <w:pPr>
              <w:keepNext/>
              <w:keepLines/>
              <w:spacing w:after="0" w:line="240" w:lineRule="auto"/>
            </w:pPr>
            <w:r>
              <w:rPr>
                <w:sz w:val="18"/>
              </w:rPr>
              <w:t>6</w:t>
            </w:r>
          </w:p>
        </w:tc>
        <w:tc>
          <w:tcPr>
            <w:tcW w:w="3180" w:type="dxa"/>
            <w:tcMar>
              <w:top w:w="0" w:type="dxa"/>
              <w:bottom w:w="0" w:type="dxa"/>
            </w:tcMar>
            <w:vAlign w:val="center"/>
          </w:tcPr>
          <w:p w:rsidR="00525553" w:rsidRDefault="008D3037">
            <w:pPr>
              <w:keepNext/>
              <w:keepLines/>
              <w:spacing w:after="0" w:line="240" w:lineRule="auto"/>
            </w:pPr>
            <w:r>
              <w:rPr>
                <w:sz w:val="18"/>
              </w:rPr>
              <w:t>PRIHODI POSLOVANJA (šifre 61+62+63+64+65+66+67+68)</w:t>
            </w:r>
          </w:p>
        </w:tc>
        <w:tc>
          <w:tcPr>
            <w:tcW w:w="700" w:type="dxa"/>
            <w:tcMar>
              <w:top w:w="0" w:type="dxa"/>
              <w:bottom w:w="0" w:type="dxa"/>
            </w:tcMar>
            <w:vAlign w:val="center"/>
          </w:tcPr>
          <w:p w:rsidR="00525553" w:rsidRDefault="008D3037">
            <w:pPr>
              <w:keepNext/>
              <w:keepLines/>
              <w:spacing w:after="0" w:line="240" w:lineRule="auto"/>
            </w:pPr>
            <w:r>
              <w:rPr>
                <w:sz w:val="18"/>
              </w:rPr>
              <w:t>6</w:t>
            </w:r>
          </w:p>
        </w:tc>
        <w:tc>
          <w:tcPr>
            <w:tcW w:w="1860" w:type="dxa"/>
            <w:tcMar>
              <w:top w:w="0" w:type="dxa"/>
              <w:bottom w:w="0" w:type="dxa"/>
            </w:tcMar>
            <w:vAlign w:val="center"/>
          </w:tcPr>
          <w:p w:rsidR="00525553" w:rsidRDefault="008D3037">
            <w:pPr>
              <w:keepNext/>
              <w:keepLines/>
              <w:spacing w:after="0" w:line="240" w:lineRule="auto"/>
              <w:jc w:val="right"/>
            </w:pPr>
            <w:r>
              <w:rPr>
                <w:sz w:val="18"/>
              </w:rPr>
              <w:t>7.807.970,82</w:t>
            </w:r>
          </w:p>
        </w:tc>
        <w:tc>
          <w:tcPr>
            <w:tcW w:w="1860" w:type="dxa"/>
            <w:tcMar>
              <w:top w:w="0" w:type="dxa"/>
              <w:bottom w:w="0" w:type="dxa"/>
            </w:tcMar>
            <w:vAlign w:val="center"/>
          </w:tcPr>
          <w:p w:rsidR="00525553" w:rsidRDefault="008D3037">
            <w:pPr>
              <w:keepNext/>
              <w:keepLines/>
              <w:spacing w:after="0" w:line="240" w:lineRule="auto"/>
              <w:jc w:val="right"/>
            </w:pPr>
            <w:r>
              <w:rPr>
                <w:sz w:val="18"/>
              </w:rPr>
              <w:t>10.116.600,81</w:t>
            </w:r>
          </w:p>
        </w:tc>
        <w:tc>
          <w:tcPr>
            <w:tcW w:w="700" w:type="dxa"/>
            <w:tcMar>
              <w:top w:w="0" w:type="dxa"/>
              <w:bottom w:w="0" w:type="dxa"/>
            </w:tcMar>
            <w:vAlign w:val="center"/>
          </w:tcPr>
          <w:p w:rsidR="00525553" w:rsidRDefault="008D3037">
            <w:pPr>
              <w:keepNext/>
              <w:keepLines/>
              <w:spacing w:after="0" w:line="240" w:lineRule="auto"/>
              <w:jc w:val="right"/>
            </w:pPr>
            <w:r>
              <w:rPr>
                <w:sz w:val="18"/>
              </w:rPr>
              <w:t>129,6</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8D3037">
            <w:pPr>
              <w:keepNext/>
              <w:keepLines/>
              <w:spacing w:after="0" w:line="240" w:lineRule="auto"/>
            </w:pPr>
            <w:r>
              <w:rPr>
                <w:sz w:val="18"/>
              </w:rPr>
              <w:t>3</w:t>
            </w:r>
          </w:p>
        </w:tc>
        <w:tc>
          <w:tcPr>
            <w:tcW w:w="3180" w:type="dxa"/>
            <w:tcMar>
              <w:top w:w="0" w:type="dxa"/>
              <w:bottom w:w="0" w:type="dxa"/>
            </w:tcMar>
            <w:vAlign w:val="center"/>
          </w:tcPr>
          <w:p w:rsidR="00525553" w:rsidRDefault="008D3037">
            <w:pPr>
              <w:keepNext/>
              <w:keepLines/>
              <w:spacing w:after="0" w:line="240" w:lineRule="auto"/>
            </w:pPr>
            <w:r>
              <w:rPr>
                <w:sz w:val="18"/>
              </w:rPr>
              <w:t xml:space="preserve">RASHODI POSLOVANJA (šifre </w:t>
            </w:r>
            <w:r>
              <w:rPr>
                <w:sz w:val="18"/>
              </w:rPr>
              <w:t>31+32+34+35+36+37+38)</w:t>
            </w:r>
          </w:p>
        </w:tc>
        <w:tc>
          <w:tcPr>
            <w:tcW w:w="700" w:type="dxa"/>
            <w:tcMar>
              <w:top w:w="0" w:type="dxa"/>
              <w:bottom w:w="0" w:type="dxa"/>
            </w:tcMar>
            <w:vAlign w:val="center"/>
          </w:tcPr>
          <w:p w:rsidR="00525553" w:rsidRDefault="008D3037">
            <w:pPr>
              <w:keepNext/>
              <w:keepLines/>
              <w:spacing w:after="0" w:line="240" w:lineRule="auto"/>
            </w:pPr>
            <w:r>
              <w:rPr>
                <w:sz w:val="18"/>
              </w:rPr>
              <w:t>3</w:t>
            </w:r>
          </w:p>
        </w:tc>
        <w:tc>
          <w:tcPr>
            <w:tcW w:w="1860" w:type="dxa"/>
            <w:tcMar>
              <w:top w:w="0" w:type="dxa"/>
              <w:bottom w:w="0" w:type="dxa"/>
            </w:tcMar>
            <w:vAlign w:val="center"/>
          </w:tcPr>
          <w:p w:rsidR="00525553" w:rsidRDefault="008D3037">
            <w:pPr>
              <w:keepNext/>
              <w:keepLines/>
              <w:spacing w:after="0" w:line="240" w:lineRule="auto"/>
              <w:jc w:val="right"/>
            </w:pPr>
            <w:r>
              <w:rPr>
                <w:sz w:val="18"/>
              </w:rPr>
              <w:t>8.835.648,23</w:t>
            </w:r>
          </w:p>
        </w:tc>
        <w:tc>
          <w:tcPr>
            <w:tcW w:w="1860" w:type="dxa"/>
            <w:tcMar>
              <w:top w:w="0" w:type="dxa"/>
              <w:bottom w:w="0" w:type="dxa"/>
            </w:tcMar>
            <w:vAlign w:val="center"/>
          </w:tcPr>
          <w:p w:rsidR="00525553" w:rsidRDefault="008D3037">
            <w:pPr>
              <w:keepNext/>
              <w:keepLines/>
              <w:spacing w:after="0" w:line="240" w:lineRule="auto"/>
              <w:jc w:val="right"/>
            </w:pPr>
            <w:r>
              <w:rPr>
                <w:sz w:val="18"/>
              </w:rPr>
              <w:t>11.126.962,98</w:t>
            </w:r>
          </w:p>
        </w:tc>
        <w:tc>
          <w:tcPr>
            <w:tcW w:w="700" w:type="dxa"/>
            <w:tcMar>
              <w:top w:w="0" w:type="dxa"/>
              <w:bottom w:w="0" w:type="dxa"/>
            </w:tcMar>
            <w:vAlign w:val="center"/>
          </w:tcPr>
          <w:p w:rsidR="00525553" w:rsidRDefault="008D3037">
            <w:pPr>
              <w:keepNext/>
              <w:keepLines/>
              <w:spacing w:after="0" w:line="240" w:lineRule="auto"/>
              <w:jc w:val="right"/>
            </w:pPr>
            <w:r>
              <w:rPr>
                <w:sz w:val="18"/>
              </w:rPr>
              <w:t>125,9</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525553">
            <w:pPr>
              <w:keepNext/>
              <w:keepLines/>
              <w:spacing w:after="0" w:line="240" w:lineRule="auto"/>
            </w:pPr>
          </w:p>
        </w:tc>
        <w:tc>
          <w:tcPr>
            <w:tcW w:w="3180" w:type="dxa"/>
            <w:tcMar>
              <w:top w:w="0" w:type="dxa"/>
              <w:bottom w:w="0" w:type="dxa"/>
            </w:tcMar>
            <w:vAlign w:val="center"/>
          </w:tcPr>
          <w:p w:rsidR="00525553" w:rsidRDefault="008D3037">
            <w:pPr>
              <w:keepNext/>
              <w:keepLines/>
              <w:spacing w:after="0" w:line="240" w:lineRule="auto"/>
            </w:pPr>
            <w:r>
              <w:rPr>
                <w:b/>
                <w:sz w:val="18"/>
              </w:rPr>
              <w:t>MANJAK PRIHODA POSLOVANJA (šifre Z005-6)</w:t>
            </w:r>
          </w:p>
        </w:tc>
        <w:tc>
          <w:tcPr>
            <w:tcW w:w="700" w:type="dxa"/>
            <w:tcMar>
              <w:top w:w="0" w:type="dxa"/>
              <w:bottom w:w="0" w:type="dxa"/>
            </w:tcMar>
            <w:vAlign w:val="center"/>
          </w:tcPr>
          <w:p w:rsidR="00525553" w:rsidRDefault="008D3037">
            <w:pPr>
              <w:keepNext/>
              <w:keepLines/>
              <w:spacing w:after="0" w:line="240" w:lineRule="auto"/>
            </w:pPr>
            <w:r>
              <w:rPr>
                <w:b/>
                <w:sz w:val="18"/>
              </w:rPr>
              <w:t>Y001</w:t>
            </w:r>
          </w:p>
        </w:tc>
        <w:tc>
          <w:tcPr>
            <w:tcW w:w="1860" w:type="dxa"/>
            <w:tcMar>
              <w:top w:w="0" w:type="dxa"/>
              <w:bottom w:w="0" w:type="dxa"/>
            </w:tcMar>
            <w:vAlign w:val="center"/>
          </w:tcPr>
          <w:p w:rsidR="00525553" w:rsidRDefault="008D3037">
            <w:pPr>
              <w:keepNext/>
              <w:keepLines/>
              <w:spacing w:after="0" w:line="240" w:lineRule="auto"/>
              <w:jc w:val="right"/>
            </w:pPr>
            <w:r>
              <w:rPr>
                <w:b/>
                <w:sz w:val="18"/>
              </w:rPr>
              <w:t>1.027.677,41</w:t>
            </w:r>
          </w:p>
        </w:tc>
        <w:tc>
          <w:tcPr>
            <w:tcW w:w="1860" w:type="dxa"/>
            <w:tcMar>
              <w:top w:w="0" w:type="dxa"/>
              <w:bottom w:w="0" w:type="dxa"/>
            </w:tcMar>
            <w:vAlign w:val="center"/>
          </w:tcPr>
          <w:p w:rsidR="00525553" w:rsidRDefault="008D3037">
            <w:pPr>
              <w:keepNext/>
              <w:keepLines/>
              <w:spacing w:after="0" w:line="240" w:lineRule="auto"/>
              <w:jc w:val="right"/>
            </w:pPr>
            <w:r>
              <w:rPr>
                <w:b/>
                <w:sz w:val="18"/>
              </w:rPr>
              <w:t>1.010.362,17</w:t>
            </w:r>
          </w:p>
        </w:tc>
        <w:tc>
          <w:tcPr>
            <w:tcW w:w="700" w:type="dxa"/>
            <w:tcMar>
              <w:top w:w="0" w:type="dxa"/>
              <w:bottom w:w="0" w:type="dxa"/>
            </w:tcMar>
            <w:vAlign w:val="center"/>
          </w:tcPr>
          <w:p w:rsidR="00525553" w:rsidRDefault="008D3037">
            <w:pPr>
              <w:keepNext/>
              <w:keepLines/>
              <w:spacing w:after="0" w:line="240" w:lineRule="auto"/>
              <w:jc w:val="right"/>
            </w:pPr>
            <w:r>
              <w:rPr>
                <w:b/>
                <w:sz w:val="18"/>
              </w:rPr>
              <w:t>98,3</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8D3037">
            <w:pPr>
              <w:keepNext/>
              <w:keepLines/>
              <w:spacing w:after="0" w:line="240" w:lineRule="auto"/>
            </w:pPr>
            <w:r>
              <w:rPr>
                <w:sz w:val="18"/>
              </w:rPr>
              <w:t>7</w:t>
            </w:r>
          </w:p>
        </w:tc>
        <w:tc>
          <w:tcPr>
            <w:tcW w:w="3180" w:type="dxa"/>
            <w:tcMar>
              <w:top w:w="0" w:type="dxa"/>
              <w:bottom w:w="0" w:type="dxa"/>
            </w:tcMar>
            <w:vAlign w:val="center"/>
          </w:tcPr>
          <w:p w:rsidR="00525553" w:rsidRDefault="008D3037">
            <w:pPr>
              <w:keepNext/>
              <w:keepLines/>
              <w:spacing w:after="0" w:line="240" w:lineRule="auto"/>
            </w:pPr>
            <w:r>
              <w:rPr>
                <w:sz w:val="18"/>
              </w:rPr>
              <w:t>Prihodi od prodaje nefinancijske imovine (šifre 71+72+73+74)</w:t>
            </w:r>
          </w:p>
        </w:tc>
        <w:tc>
          <w:tcPr>
            <w:tcW w:w="700" w:type="dxa"/>
            <w:tcMar>
              <w:top w:w="0" w:type="dxa"/>
              <w:bottom w:w="0" w:type="dxa"/>
            </w:tcMar>
            <w:vAlign w:val="center"/>
          </w:tcPr>
          <w:p w:rsidR="00525553" w:rsidRDefault="008D3037">
            <w:pPr>
              <w:keepNext/>
              <w:keepLines/>
              <w:spacing w:after="0" w:line="240" w:lineRule="auto"/>
            </w:pPr>
            <w:r>
              <w:rPr>
                <w:sz w:val="18"/>
              </w:rPr>
              <w:t>7</w:t>
            </w:r>
          </w:p>
        </w:tc>
        <w:tc>
          <w:tcPr>
            <w:tcW w:w="1860" w:type="dxa"/>
            <w:tcMar>
              <w:top w:w="0" w:type="dxa"/>
              <w:bottom w:w="0" w:type="dxa"/>
            </w:tcMar>
            <w:vAlign w:val="center"/>
          </w:tcPr>
          <w:p w:rsidR="00525553" w:rsidRDefault="008D3037">
            <w:pPr>
              <w:keepNext/>
              <w:keepLines/>
              <w:spacing w:after="0" w:line="240" w:lineRule="auto"/>
              <w:jc w:val="right"/>
            </w:pPr>
            <w:r>
              <w:rPr>
                <w:sz w:val="18"/>
              </w:rPr>
              <w:t>0,00</w:t>
            </w:r>
          </w:p>
        </w:tc>
        <w:tc>
          <w:tcPr>
            <w:tcW w:w="1860" w:type="dxa"/>
            <w:tcMar>
              <w:top w:w="0" w:type="dxa"/>
              <w:bottom w:w="0" w:type="dxa"/>
            </w:tcMar>
            <w:vAlign w:val="center"/>
          </w:tcPr>
          <w:p w:rsidR="00525553" w:rsidRDefault="008D3037">
            <w:pPr>
              <w:keepNext/>
              <w:keepLines/>
              <w:spacing w:after="0" w:line="240" w:lineRule="auto"/>
              <w:jc w:val="right"/>
            </w:pPr>
            <w:r>
              <w:rPr>
                <w:sz w:val="18"/>
              </w:rPr>
              <w:t>0,00</w:t>
            </w:r>
          </w:p>
        </w:tc>
        <w:tc>
          <w:tcPr>
            <w:tcW w:w="700" w:type="dxa"/>
            <w:tcMar>
              <w:top w:w="0" w:type="dxa"/>
              <w:bottom w:w="0" w:type="dxa"/>
            </w:tcMar>
            <w:vAlign w:val="center"/>
          </w:tcPr>
          <w:p w:rsidR="00525553" w:rsidRDefault="008D3037">
            <w:pPr>
              <w:keepNext/>
              <w:keepLines/>
              <w:spacing w:after="0" w:line="240" w:lineRule="auto"/>
              <w:jc w:val="right"/>
            </w:pPr>
            <w:r>
              <w:rPr>
                <w:sz w:val="18"/>
              </w:rPr>
              <w:t>-</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8D3037">
            <w:pPr>
              <w:keepNext/>
              <w:keepLines/>
              <w:spacing w:after="0" w:line="240" w:lineRule="auto"/>
            </w:pPr>
            <w:r>
              <w:rPr>
                <w:sz w:val="18"/>
              </w:rPr>
              <w:t>4</w:t>
            </w:r>
          </w:p>
        </w:tc>
        <w:tc>
          <w:tcPr>
            <w:tcW w:w="3180" w:type="dxa"/>
            <w:tcMar>
              <w:top w:w="0" w:type="dxa"/>
              <w:bottom w:w="0" w:type="dxa"/>
            </w:tcMar>
            <w:vAlign w:val="center"/>
          </w:tcPr>
          <w:p w:rsidR="00525553" w:rsidRDefault="008D3037">
            <w:pPr>
              <w:keepNext/>
              <w:keepLines/>
              <w:spacing w:after="0" w:line="240" w:lineRule="auto"/>
            </w:pPr>
            <w:r>
              <w:rPr>
                <w:sz w:val="18"/>
              </w:rPr>
              <w:t>Rashodi za nabavu nefinancijske imovine</w:t>
            </w:r>
            <w:r>
              <w:rPr>
                <w:sz w:val="18"/>
              </w:rPr>
              <w:t xml:space="preserve"> (šifre 41+42+43+44+45)</w:t>
            </w:r>
          </w:p>
        </w:tc>
        <w:tc>
          <w:tcPr>
            <w:tcW w:w="700" w:type="dxa"/>
            <w:tcMar>
              <w:top w:w="0" w:type="dxa"/>
              <w:bottom w:w="0" w:type="dxa"/>
            </w:tcMar>
            <w:vAlign w:val="center"/>
          </w:tcPr>
          <w:p w:rsidR="00525553" w:rsidRDefault="008D3037">
            <w:pPr>
              <w:keepNext/>
              <w:keepLines/>
              <w:spacing w:after="0" w:line="240" w:lineRule="auto"/>
            </w:pPr>
            <w:r>
              <w:rPr>
                <w:sz w:val="18"/>
              </w:rPr>
              <w:t>4</w:t>
            </w:r>
          </w:p>
        </w:tc>
        <w:tc>
          <w:tcPr>
            <w:tcW w:w="1860" w:type="dxa"/>
            <w:tcMar>
              <w:top w:w="0" w:type="dxa"/>
              <w:bottom w:w="0" w:type="dxa"/>
            </w:tcMar>
            <w:vAlign w:val="center"/>
          </w:tcPr>
          <w:p w:rsidR="00525553" w:rsidRDefault="008D3037">
            <w:pPr>
              <w:keepNext/>
              <w:keepLines/>
              <w:spacing w:after="0" w:line="240" w:lineRule="auto"/>
              <w:jc w:val="right"/>
            </w:pPr>
            <w:r>
              <w:rPr>
                <w:sz w:val="18"/>
              </w:rPr>
              <w:t>569.748,55</w:t>
            </w:r>
          </w:p>
        </w:tc>
        <w:tc>
          <w:tcPr>
            <w:tcW w:w="1860" w:type="dxa"/>
            <w:tcMar>
              <w:top w:w="0" w:type="dxa"/>
              <w:bottom w:w="0" w:type="dxa"/>
            </w:tcMar>
            <w:vAlign w:val="center"/>
          </w:tcPr>
          <w:p w:rsidR="00525553" w:rsidRDefault="008D3037">
            <w:pPr>
              <w:keepNext/>
              <w:keepLines/>
              <w:spacing w:after="0" w:line="240" w:lineRule="auto"/>
              <w:jc w:val="right"/>
            </w:pPr>
            <w:r>
              <w:rPr>
                <w:sz w:val="18"/>
              </w:rPr>
              <w:t>250.937,87</w:t>
            </w:r>
          </w:p>
        </w:tc>
        <w:tc>
          <w:tcPr>
            <w:tcW w:w="700" w:type="dxa"/>
            <w:tcMar>
              <w:top w:w="0" w:type="dxa"/>
              <w:bottom w:w="0" w:type="dxa"/>
            </w:tcMar>
            <w:vAlign w:val="center"/>
          </w:tcPr>
          <w:p w:rsidR="00525553" w:rsidRDefault="008D3037">
            <w:pPr>
              <w:keepNext/>
              <w:keepLines/>
              <w:spacing w:after="0" w:line="240" w:lineRule="auto"/>
              <w:jc w:val="right"/>
            </w:pPr>
            <w:r>
              <w:rPr>
                <w:sz w:val="18"/>
              </w:rPr>
              <w:t>44,0</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525553">
            <w:pPr>
              <w:keepNext/>
              <w:keepLines/>
              <w:spacing w:after="0" w:line="240" w:lineRule="auto"/>
            </w:pPr>
          </w:p>
        </w:tc>
        <w:tc>
          <w:tcPr>
            <w:tcW w:w="3180" w:type="dxa"/>
            <w:tcMar>
              <w:top w:w="0" w:type="dxa"/>
              <w:bottom w:w="0" w:type="dxa"/>
            </w:tcMar>
            <w:vAlign w:val="center"/>
          </w:tcPr>
          <w:p w:rsidR="00525553" w:rsidRDefault="008D3037">
            <w:pPr>
              <w:keepNext/>
              <w:keepLines/>
              <w:spacing w:after="0" w:line="240" w:lineRule="auto"/>
            </w:pPr>
            <w:r>
              <w:rPr>
                <w:b/>
                <w:sz w:val="18"/>
              </w:rPr>
              <w:t>MANJAK PRIHODA OD NEFINANCIJSKE IMOVINE (šifre 4-7)</w:t>
            </w:r>
          </w:p>
        </w:tc>
        <w:tc>
          <w:tcPr>
            <w:tcW w:w="700" w:type="dxa"/>
            <w:tcMar>
              <w:top w:w="0" w:type="dxa"/>
              <w:bottom w:w="0" w:type="dxa"/>
            </w:tcMar>
            <w:vAlign w:val="center"/>
          </w:tcPr>
          <w:p w:rsidR="00525553" w:rsidRDefault="008D3037">
            <w:pPr>
              <w:keepNext/>
              <w:keepLines/>
              <w:spacing w:after="0" w:line="240" w:lineRule="auto"/>
            </w:pPr>
            <w:r>
              <w:rPr>
                <w:b/>
                <w:sz w:val="18"/>
              </w:rPr>
              <w:t>Y002</w:t>
            </w:r>
          </w:p>
        </w:tc>
        <w:tc>
          <w:tcPr>
            <w:tcW w:w="1860" w:type="dxa"/>
            <w:tcMar>
              <w:top w:w="0" w:type="dxa"/>
              <w:bottom w:w="0" w:type="dxa"/>
            </w:tcMar>
            <w:vAlign w:val="center"/>
          </w:tcPr>
          <w:p w:rsidR="00525553" w:rsidRDefault="008D3037">
            <w:pPr>
              <w:keepNext/>
              <w:keepLines/>
              <w:spacing w:after="0" w:line="240" w:lineRule="auto"/>
              <w:jc w:val="right"/>
            </w:pPr>
            <w:r>
              <w:rPr>
                <w:b/>
                <w:sz w:val="18"/>
              </w:rPr>
              <w:t>569.748,55</w:t>
            </w:r>
          </w:p>
        </w:tc>
        <w:tc>
          <w:tcPr>
            <w:tcW w:w="1860" w:type="dxa"/>
            <w:tcMar>
              <w:top w:w="0" w:type="dxa"/>
              <w:bottom w:w="0" w:type="dxa"/>
            </w:tcMar>
            <w:vAlign w:val="center"/>
          </w:tcPr>
          <w:p w:rsidR="00525553" w:rsidRDefault="008D3037">
            <w:pPr>
              <w:keepNext/>
              <w:keepLines/>
              <w:spacing w:after="0" w:line="240" w:lineRule="auto"/>
              <w:jc w:val="right"/>
            </w:pPr>
            <w:r>
              <w:rPr>
                <w:b/>
                <w:sz w:val="18"/>
              </w:rPr>
              <w:t>250.937,87</w:t>
            </w:r>
          </w:p>
        </w:tc>
        <w:tc>
          <w:tcPr>
            <w:tcW w:w="700" w:type="dxa"/>
            <w:tcMar>
              <w:top w:w="0" w:type="dxa"/>
              <w:bottom w:w="0" w:type="dxa"/>
            </w:tcMar>
            <w:vAlign w:val="center"/>
          </w:tcPr>
          <w:p w:rsidR="00525553" w:rsidRDefault="008D3037">
            <w:pPr>
              <w:keepNext/>
              <w:keepLines/>
              <w:spacing w:after="0" w:line="240" w:lineRule="auto"/>
              <w:jc w:val="right"/>
            </w:pPr>
            <w:r>
              <w:rPr>
                <w:b/>
                <w:sz w:val="18"/>
              </w:rPr>
              <w:t>44,0</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8D3037">
            <w:pPr>
              <w:keepNext/>
              <w:keepLines/>
              <w:spacing w:after="0" w:line="240" w:lineRule="auto"/>
            </w:pPr>
            <w:r>
              <w:rPr>
                <w:sz w:val="18"/>
              </w:rPr>
              <w:t>8</w:t>
            </w:r>
          </w:p>
        </w:tc>
        <w:tc>
          <w:tcPr>
            <w:tcW w:w="3180" w:type="dxa"/>
            <w:tcMar>
              <w:top w:w="0" w:type="dxa"/>
              <w:bottom w:w="0" w:type="dxa"/>
            </w:tcMar>
            <w:vAlign w:val="center"/>
          </w:tcPr>
          <w:p w:rsidR="00525553" w:rsidRDefault="008D3037">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rsidR="00525553" w:rsidRDefault="008D3037">
            <w:pPr>
              <w:keepNext/>
              <w:keepLines/>
              <w:spacing w:after="0" w:line="240" w:lineRule="auto"/>
            </w:pPr>
            <w:r>
              <w:rPr>
                <w:sz w:val="18"/>
              </w:rPr>
              <w:t>8</w:t>
            </w:r>
          </w:p>
        </w:tc>
        <w:tc>
          <w:tcPr>
            <w:tcW w:w="1860" w:type="dxa"/>
            <w:tcMar>
              <w:top w:w="0" w:type="dxa"/>
              <w:bottom w:w="0" w:type="dxa"/>
            </w:tcMar>
            <w:vAlign w:val="center"/>
          </w:tcPr>
          <w:p w:rsidR="00525553" w:rsidRDefault="008D3037">
            <w:pPr>
              <w:keepNext/>
              <w:keepLines/>
              <w:spacing w:after="0" w:line="240" w:lineRule="auto"/>
              <w:jc w:val="right"/>
            </w:pPr>
            <w:r>
              <w:rPr>
                <w:sz w:val="18"/>
              </w:rPr>
              <w:t>0,00</w:t>
            </w:r>
          </w:p>
        </w:tc>
        <w:tc>
          <w:tcPr>
            <w:tcW w:w="1860" w:type="dxa"/>
            <w:tcMar>
              <w:top w:w="0" w:type="dxa"/>
              <w:bottom w:w="0" w:type="dxa"/>
            </w:tcMar>
            <w:vAlign w:val="center"/>
          </w:tcPr>
          <w:p w:rsidR="00525553" w:rsidRDefault="008D3037">
            <w:pPr>
              <w:keepNext/>
              <w:keepLines/>
              <w:spacing w:after="0" w:line="240" w:lineRule="auto"/>
              <w:jc w:val="right"/>
            </w:pPr>
            <w:r>
              <w:rPr>
                <w:sz w:val="18"/>
              </w:rPr>
              <w:t>0,00</w:t>
            </w:r>
          </w:p>
        </w:tc>
        <w:tc>
          <w:tcPr>
            <w:tcW w:w="700" w:type="dxa"/>
            <w:tcMar>
              <w:top w:w="0" w:type="dxa"/>
              <w:bottom w:w="0" w:type="dxa"/>
            </w:tcMar>
            <w:vAlign w:val="center"/>
          </w:tcPr>
          <w:p w:rsidR="00525553" w:rsidRDefault="008D3037">
            <w:pPr>
              <w:keepNext/>
              <w:keepLines/>
              <w:spacing w:after="0" w:line="240" w:lineRule="auto"/>
              <w:jc w:val="right"/>
            </w:pPr>
            <w:r>
              <w:rPr>
                <w:sz w:val="18"/>
              </w:rPr>
              <w:t>-</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8D3037">
            <w:pPr>
              <w:keepNext/>
              <w:keepLines/>
              <w:spacing w:after="0" w:line="240" w:lineRule="auto"/>
            </w:pPr>
            <w:r>
              <w:rPr>
                <w:sz w:val="18"/>
              </w:rPr>
              <w:t>5</w:t>
            </w:r>
          </w:p>
        </w:tc>
        <w:tc>
          <w:tcPr>
            <w:tcW w:w="3180" w:type="dxa"/>
            <w:tcMar>
              <w:top w:w="0" w:type="dxa"/>
              <w:bottom w:w="0" w:type="dxa"/>
            </w:tcMar>
            <w:vAlign w:val="center"/>
          </w:tcPr>
          <w:p w:rsidR="00525553" w:rsidRDefault="008D3037">
            <w:pPr>
              <w:keepNext/>
              <w:keepLines/>
              <w:spacing w:after="0" w:line="240" w:lineRule="auto"/>
            </w:pPr>
            <w:r>
              <w:rPr>
                <w:sz w:val="18"/>
              </w:rPr>
              <w:t>Izdaci za financijsku imovinu</w:t>
            </w:r>
            <w:r>
              <w:rPr>
                <w:sz w:val="18"/>
              </w:rPr>
              <w:t xml:space="preserve"> i otplate zajmova (šifre 51+52+53+54+55)</w:t>
            </w:r>
          </w:p>
        </w:tc>
        <w:tc>
          <w:tcPr>
            <w:tcW w:w="700" w:type="dxa"/>
            <w:tcMar>
              <w:top w:w="0" w:type="dxa"/>
              <w:bottom w:w="0" w:type="dxa"/>
            </w:tcMar>
            <w:vAlign w:val="center"/>
          </w:tcPr>
          <w:p w:rsidR="00525553" w:rsidRDefault="008D3037">
            <w:pPr>
              <w:keepNext/>
              <w:keepLines/>
              <w:spacing w:after="0" w:line="240" w:lineRule="auto"/>
            </w:pPr>
            <w:r>
              <w:rPr>
                <w:sz w:val="18"/>
              </w:rPr>
              <w:t>5</w:t>
            </w:r>
          </w:p>
        </w:tc>
        <w:tc>
          <w:tcPr>
            <w:tcW w:w="1860" w:type="dxa"/>
            <w:tcMar>
              <w:top w:w="0" w:type="dxa"/>
              <w:bottom w:w="0" w:type="dxa"/>
            </w:tcMar>
            <w:vAlign w:val="center"/>
          </w:tcPr>
          <w:p w:rsidR="00525553" w:rsidRDefault="008D3037">
            <w:pPr>
              <w:keepNext/>
              <w:keepLines/>
              <w:spacing w:after="0" w:line="240" w:lineRule="auto"/>
              <w:jc w:val="right"/>
            </w:pPr>
            <w:r>
              <w:rPr>
                <w:sz w:val="18"/>
              </w:rPr>
              <w:t>7.454,80</w:t>
            </w:r>
          </w:p>
        </w:tc>
        <w:tc>
          <w:tcPr>
            <w:tcW w:w="1860" w:type="dxa"/>
            <w:tcMar>
              <w:top w:w="0" w:type="dxa"/>
              <w:bottom w:w="0" w:type="dxa"/>
            </w:tcMar>
            <w:vAlign w:val="center"/>
          </w:tcPr>
          <w:p w:rsidR="00525553" w:rsidRDefault="008D3037">
            <w:pPr>
              <w:keepNext/>
              <w:keepLines/>
              <w:spacing w:after="0" w:line="240" w:lineRule="auto"/>
              <w:jc w:val="right"/>
            </w:pPr>
            <w:r>
              <w:rPr>
                <w:sz w:val="18"/>
              </w:rPr>
              <w:t>10.143,56</w:t>
            </w:r>
          </w:p>
        </w:tc>
        <w:tc>
          <w:tcPr>
            <w:tcW w:w="700" w:type="dxa"/>
            <w:tcMar>
              <w:top w:w="0" w:type="dxa"/>
              <w:bottom w:w="0" w:type="dxa"/>
            </w:tcMar>
            <w:vAlign w:val="center"/>
          </w:tcPr>
          <w:p w:rsidR="00525553" w:rsidRDefault="008D3037">
            <w:pPr>
              <w:keepNext/>
              <w:keepLines/>
              <w:spacing w:after="0" w:line="240" w:lineRule="auto"/>
              <w:jc w:val="right"/>
            </w:pPr>
            <w:r>
              <w:rPr>
                <w:sz w:val="18"/>
              </w:rPr>
              <w:t>136,1</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525553">
            <w:pPr>
              <w:keepNext/>
              <w:keepLines/>
              <w:spacing w:after="0" w:line="240" w:lineRule="auto"/>
            </w:pPr>
          </w:p>
        </w:tc>
        <w:tc>
          <w:tcPr>
            <w:tcW w:w="3180" w:type="dxa"/>
            <w:tcMar>
              <w:top w:w="0" w:type="dxa"/>
              <w:bottom w:w="0" w:type="dxa"/>
            </w:tcMar>
            <w:vAlign w:val="center"/>
          </w:tcPr>
          <w:p w:rsidR="00525553" w:rsidRDefault="008D3037">
            <w:pPr>
              <w:keepNext/>
              <w:keepLines/>
              <w:spacing w:after="0" w:line="240" w:lineRule="auto"/>
            </w:pPr>
            <w:r>
              <w:rPr>
                <w:b/>
                <w:sz w:val="18"/>
              </w:rPr>
              <w:t>MANJAK PRIMITAKA OD FINANCIJSKE IMOVINE I ZADUŽIVANJA (šifre 5-8)</w:t>
            </w:r>
          </w:p>
        </w:tc>
        <w:tc>
          <w:tcPr>
            <w:tcW w:w="700" w:type="dxa"/>
            <w:tcMar>
              <w:top w:w="0" w:type="dxa"/>
              <w:bottom w:w="0" w:type="dxa"/>
            </w:tcMar>
            <w:vAlign w:val="center"/>
          </w:tcPr>
          <w:p w:rsidR="00525553" w:rsidRDefault="008D3037">
            <w:pPr>
              <w:keepNext/>
              <w:keepLines/>
              <w:spacing w:after="0" w:line="240" w:lineRule="auto"/>
            </w:pPr>
            <w:r>
              <w:rPr>
                <w:b/>
                <w:sz w:val="18"/>
              </w:rPr>
              <w:t>Y003</w:t>
            </w:r>
          </w:p>
        </w:tc>
        <w:tc>
          <w:tcPr>
            <w:tcW w:w="1860" w:type="dxa"/>
            <w:tcMar>
              <w:top w:w="0" w:type="dxa"/>
              <w:bottom w:w="0" w:type="dxa"/>
            </w:tcMar>
            <w:vAlign w:val="center"/>
          </w:tcPr>
          <w:p w:rsidR="00525553" w:rsidRDefault="008D3037">
            <w:pPr>
              <w:keepNext/>
              <w:keepLines/>
              <w:spacing w:after="0" w:line="240" w:lineRule="auto"/>
              <w:jc w:val="right"/>
            </w:pPr>
            <w:r>
              <w:rPr>
                <w:b/>
                <w:sz w:val="18"/>
              </w:rPr>
              <w:t>7.454,80</w:t>
            </w:r>
          </w:p>
        </w:tc>
        <w:tc>
          <w:tcPr>
            <w:tcW w:w="1860" w:type="dxa"/>
            <w:tcMar>
              <w:top w:w="0" w:type="dxa"/>
              <w:bottom w:w="0" w:type="dxa"/>
            </w:tcMar>
            <w:vAlign w:val="center"/>
          </w:tcPr>
          <w:p w:rsidR="00525553" w:rsidRDefault="008D3037">
            <w:pPr>
              <w:keepNext/>
              <w:keepLines/>
              <w:spacing w:after="0" w:line="240" w:lineRule="auto"/>
              <w:jc w:val="right"/>
            </w:pPr>
            <w:r>
              <w:rPr>
                <w:b/>
                <w:sz w:val="18"/>
              </w:rPr>
              <w:t>10.143,56</w:t>
            </w:r>
          </w:p>
        </w:tc>
        <w:tc>
          <w:tcPr>
            <w:tcW w:w="700" w:type="dxa"/>
            <w:tcMar>
              <w:top w:w="0" w:type="dxa"/>
              <w:bottom w:w="0" w:type="dxa"/>
            </w:tcMar>
            <w:vAlign w:val="center"/>
          </w:tcPr>
          <w:p w:rsidR="00525553" w:rsidRDefault="008D3037">
            <w:pPr>
              <w:keepNext/>
              <w:keepLines/>
              <w:spacing w:after="0" w:line="240" w:lineRule="auto"/>
              <w:jc w:val="right"/>
            </w:pPr>
            <w:r>
              <w:rPr>
                <w:b/>
                <w:sz w:val="18"/>
              </w:rPr>
              <w:t>136,1</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525553">
            <w:pPr>
              <w:keepNext/>
              <w:keepLines/>
              <w:spacing w:after="0" w:line="240" w:lineRule="auto"/>
            </w:pPr>
          </w:p>
        </w:tc>
        <w:tc>
          <w:tcPr>
            <w:tcW w:w="3180" w:type="dxa"/>
            <w:tcMar>
              <w:top w:w="0" w:type="dxa"/>
              <w:bottom w:w="0" w:type="dxa"/>
            </w:tcMar>
            <w:vAlign w:val="center"/>
          </w:tcPr>
          <w:p w:rsidR="00525553" w:rsidRDefault="008D3037">
            <w:pPr>
              <w:keepNext/>
              <w:keepLines/>
              <w:spacing w:after="0" w:line="240" w:lineRule="auto"/>
            </w:pPr>
            <w:r>
              <w:rPr>
                <w:b/>
                <w:sz w:val="18"/>
              </w:rPr>
              <w:t>MANJAK PRIHODA I PRIMITAKA (šifre Y345-X678)</w:t>
            </w:r>
          </w:p>
        </w:tc>
        <w:tc>
          <w:tcPr>
            <w:tcW w:w="700" w:type="dxa"/>
            <w:tcMar>
              <w:top w:w="0" w:type="dxa"/>
              <w:bottom w:w="0" w:type="dxa"/>
            </w:tcMar>
            <w:vAlign w:val="center"/>
          </w:tcPr>
          <w:p w:rsidR="00525553" w:rsidRDefault="008D3037">
            <w:pPr>
              <w:keepNext/>
              <w:keepLines/>
              <w:spacing w:after="0" w:line="240" w:lineRule="auto"/>
            </w:pPr>
            <w:r>
              <w:rPr>
                <w:b/>
                <w:sz w:val="18"/>
              </w:rPr>
              <w:t>Y005</w:t>
            </w:r>
          </w:p>
        </w:tc>
        <w:tc>
          <w:tcPr>
            <w:tcW w:w="1860" w:type="dxa"/>
            <w:tcMar>
              <w:top w:w="0" w:type="dxa"/>
              <w:bottom w:w="0" w:type="dxa"/>
            </w:tcMar>
            <w:vAlign w:val="center"/>
          </w:tcPr>
          <w:p w:rsidR="00525553" w:rsidRDefault="008D3037">
            <w:pPr>
              <w:keepNext/>
              <w:keepLines/>
              <w:spacing w:after="0" w:line="240" w:lineRule="auto"/>
              <w:jc w:val="right"/>
            </w:pPr>
            <w:r>
              <w:rPr>
                <w:b/>
                <w:sz w:val="18"/>
              </w:rPr>
              <w:t>1.604.880,76</w:t>
            </w:r>
          </w:p>
        </w:tc>
        <w:tc>
          <w:tcPr>
            <w:tcW w:w="1860" w:type="dxa"/>
            <w:tcMar>
              <w:top w:w="0" w:type="dxa"/>
              <w:bottom w:w="0" w:type="dxa"/>
            </w:tcMar>
            <w:vAlign w:val="center"/>
          </w:tcPr>
          <w:p w:rsidR="00525553" w:rsidRDefault="008D3037">
            <w:pPr>
              <w:keepNext/>
              <w:keepLines/>
              <w:spacing w:after="0" w:line="240" w:lineRule="auto"/>
              <w:jc w:val="right"/>
            </w:pPr>
            <w:r>
              <w:rPr>
                <w:b/>
                <w:sz w:val="18"/>
              </w:rPr>
              <w:t>1.271.443,60</w:t>
            </w:r>
          </w:p>
        </w:tc>
        <w:tc>
          <w:tcPr>
            <w:tcW w:w="700" w:type="dxa"/>
            <w:tcMar>
              <w:top w:w="0" w:type="dxa"/>
              <w:bottom w:w="0" w:type="dxa"/>
            </w:tcMar>
            <w:vAlign w:val="center"/>
          </w:tcPr>
          <w:p w:rsidR="00525553" w:rsidRDefault="008D3037">
            <w:pPr>
              <w:keepNext/>
              <w:keepLines/>
              <w:spacing w:after="0" w:line="240" w:lineRule="auto"/>
              <w:jc w:val="right"/>
            </w:pPr>
            <w:r>
              <w:rPr>
                <w:b/>
                <w:sz w:val="18"/>
              </w:rPr>
              <w:t>79,2</w:t>
            </w:r>
          </w:p>
        </w:tc>
      </w:tr>
    </w:tbl>
    <w:p w:rsidR="00525553" w:rsidRDefault="00525553">
      <w:pPr>
        <w:spacing w:after="0"/>
      </w:pPr>
    </w:p>
    <w:p w:rsidR="00525553" w:rsidRDefault="008D3037">
      <w:pPr>
        <w:spacing w:line="240" w:lineRule="auto"/>
        <w:jc w:val="both"/>
      </w:pPr>
      <w:r>
        <w:t xml:space="preserve">Hrvatska agencija za poljoprivredu i hranu za razdoblje siječanj – lipanj 2025. godine u svom poslovanju ostvarila je prihode poslovanja u iznosu od 10.116.600,81 EUR, što je povećanje od 29,6% u odnosu na isto razdoblje 2024. godine.  Najveći dio prihoda </w:t>
      </w:r>
      <w:r>
        <w:t>čine prihodi iz nadležnog proračuna za financiranje redovne djelatnosti proračunskih korisnika u iznosu od 9.075.783,92 EUR (vrijednosno najznačajniji prihodi odnose se na prihode za plaće za redovan rad i pripadajuće doprinose) te prihodi po posebnim prop</w:t>
      </w:r>
      <w:r>
        <w:t xml:space="preserve">isima u iznosu od 710.674,66 EUR koje Agencija naplaćuje obavljanjem javnih ovlasti po Zakonu o sjemenu, </w:t>
      </w:r>
      <w:r>
        <w:lastRenderedPageBreak/>
        <w:t>sadnom materijalu i priznavanju sorti poljoprivrednog bilja; Zakonu o zaštiti biljnih sorti; Zakonu o uzgoju domaćih životinja, Zakonu o poljoprivredi,</w:t>
      </w:r>
      <w:r>
        <w:t xml:space="preserve"> Zakonu o biljnom zdravstvu, Zakonu o službenim kontrolama; Zakonu o provedbi Uredbe (EZ) br. 1107/2009 o stavljanju na tržište sredstava za zaštitu bilja; Zakonu o održivoj uporabi pesticida.    Za razdoblje siječanj – lipanj 2025. godine Agencija je u sv</w:t>
      </w:r>
      <w:r>
        <w:t>om poslovanju ostvarila je rashode poslovanja u iznosu od 11.126.962,98 EUR, što je povećanje od 36,3% u odnosu na isto razdoblje 2024. godine. Ostvareni rashodi najvećim dijelom odnose se na rashode za zaposlene u iznosu od 8.184.263,31 EUR te na materija</w:t>
      </w:r>
      <w:r>
        <w:t xml:space="preserve">lne rashode u iznosu od 2.939.970,83 EUR.  Manjak prihoda poslovanja najvećim dijelom nastao je zbog ukidanja kontinuiranih rashoda poslovanja i prijenosa na rashode poslovanja.  Rashodi za nabavu nefinancijske imovine za razdoblje siječanj – lipanj 2025. </w:t>
      </w:r>
      <w:r>
        <w:t>godine iznose 250.937,87 EUR. Odnose se na rashode za nabavu licenci,  uredske opreme i namještaja, računala te laboratorijske opreme.   Ukupni izdaci za financijsku imovinu i otplate zajmova za razdoblje siječanj – lipanj 2025. godine iznosi 10.143,56 EUR</w:t>
      </w:r>
      <w:r>
        <w:t xml:space="preserve"> i odnosi se na rashode za nabavu vozila putem </w:t>
      </w:r>
      <w:proofErr w:type="spellStart"/>
      <w:r>
        <w:t>leasinga</w:t>
      </w:r>
      <w:proofErr w:type="spellEnd"/>
      <w:r>
        <w:t>.</w:t>
      </w:r>
    </w:p>
    <w:p w:rsidR="00525553" w:rsidRDefault="008D3037">
      <w:r>
        <w:br/>
      </w:r>
    </w:p>
    <w:p w:rsidR="00525553" w:rsidRDefault="008D3037">
      <w:pPr>
        <w:keepNext/>
        <w:spacing w:line="240" w:lineRule="auto"/>
        <w:jc w:val="center"/>
      </w:pPr>
      <w:r>
        <w:rPr>
          <w:b/>
          <w:sz w:val="28"/>
        </w:rPr>
        <w:t>Izvještaj o obvezama</w:t>
      </w:r>
    </w:p>
    <w:p w:rsidR="00525553" w:rsidRDefault="008D3037">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525553">
        <w:tblPrEx>
          <w:tblCellMar>
            <w:top w:w="0" w:type="dxa"/>
            <w:bottom w:w="0" w:type="dxa"/>
          </w:tblCellMar>
        </w:tblPrEx>
        <w:trPr>
          <w:cantSplit/>
        </w:trPr>
        <w:tc>
          <w:tcPr>
            <w:tcW w:w="70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rsidR="00525553" w:rsidRDefault="008D3037">
            <w:pPr>
              <w:keepNext/>
              <w:keepLines/>
              <w:spacing w:after="0" w:line="240" w:lineRule="auto"/>
              <w:jc w:val="center"/>
            </w:pPr>
            <w:r>
              <w:rPr>
                <w:b/>
                <w:sz w:val="18"/>
              </w:rPr>
              <w:t>Indeks (%)</w:t>
            </w:r>
          </w:p>
        </w:tc>
      </w:tr>
      <w:tr w:rsidR="00525553">
        <w:tblPrEx>
          <w:tblCellMar>
            <w:top w:w="0" w:type="dxa"/>
            <w:bottom w:w="0" w:type="dxa"/>
          </w:tblCellMar>
        </w:tblPrEx>
        <w:trPr>
          <w:cantSplit/>
          <w:trHeight w:val="560"/>
        </w:trPr>
        <w:tc>
          <w:tcPr>
            <w:tcW w:w="700" w:type="dxa"/>
            <w:tcMar>
              <w:top w:w="0" w:type="dxa"/>
              <w:bottom w:w="0" w:type="dxa"/>
            </w:tcMar>
            <w:vAlign w:val="center"/>
          </w:tcPr>
          <w:p w:rsidR="00525553" w:rsidRDefault="00525553">
            <w:pPr>
              <w:keepNext/>
              <w:keepLines/>
              <w:spacing w:after="0" w:line="240" w:lineRule="auto"/>
            </w:pPr>
          </w:p>
        </w:tc>
        <w:tc>
          <w:tcPr>
            <w:tcW w:w="3180" w:type="dxa"/>
            <w:tcMar>
              <w:top w:w="0" w:type="dxa"/>
              <w:bottom w:w="0" w:type="dxa"/>
            </w:tcMar>
            <w:vAlign w:val="center"/>
          </w:tcPr>
          <w:p w:rsidR="00525553" w:rsidRDefault="008D3037">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rsidR="00525553" w:rsidRDefault="008D3037">
            <w:pPr>
              <w:keepNext/>
              <w:keepLines/>
              <w:spacing w:after="0" w:line="240" w:lineRule="auto"/>
            </w:pPr>
            <w:r>
              <w:rPr>
                <w:sz w:val="18"/>
              </w:rPr>
              <w:t>V007</w:t>
            </w:r>
          </w:p>
        </w:tc>
        <w:tc>
          <w:tcPr>
            <w:tcW w:w="1860" w:type="dxa"/>
            <w:tcMar>
              <w:top w:w="0" w:type="dxa"/>
              <w:bottom w:w="0" w:type="dxa"/>
            </w:tcMar>
            <w:vAlign w:val="center"/>
          </w:tcPr>
          <w:p w:rsidR="00525553" w:rsidRDefault="008D3037">
            <w:pPr>
              <w:keepNext/>
              <w:keepLines/>
              <w:spacing w:after="0" w:line="240" w:lineRule="auto"/>
              <w:jc w:val="right"/>
            </w:pPr>
            <w:r>
              <w:rPr>
                <w:sz w:val="18"/>
              </w:rPr>
              <w:t>107.709,44</w:t>
            </w:r>
          </w:p>
        </w:tc>
        <w:tc>
          <w:tcPr>
            <w:tcW w:w="700" w:type="dxa"/>
            <w:tcMar>
              <w:top w:w="0" w:type="dxa"/>
              <w:bottom w:w="0" w:type="dxa"/>
            </w:tcMar>
            <w:vAlign w:val="center"/>
          </w:tcPr>
          <w:p w:rsidR="00525553" w:rsidRDefault="008D3037">
            <w:pPr>
              <w:keepNext/>
              <w:keepLines/>
              <w:spacing w:after="0" w:line="240" w:lineRule="auto"/>
              <w:jc w:val="right"/>
            </w:pPr>
            <w:r>
              <w:rPr>
                <w:sz w:val="18"/>
              </w:rPr>
              <w:t>-</w:t>
            </w:r>
          </w:p>
        </w:tc>
      </w:tr>
    </w:tbl>
    <w:p w:rsidR="00525553" w:rsidRDefault="00525553">
      <w:pPr>
        <w:spacing w:after="0"/>
      </w:pPr>
    </w:p>
    <w:p w:rsidR="00525553" w:rsidRDefault="008D3037">
      <w:pPr>
        <w:spacing w:line="240" w:lineRule="auto"/>
        <w:jc w:val="both"/>
      </w:pPr>
      <w:r>
        <w:t xml:space="preserve">Ukupno dospjele obveze na dan 30 lipnja 2025. godine iznose 107.709,44 EUR i nastale su zbog procedure kod zaprimanja računa, kompletiranja dokumentacije, dobivanja potvrda ili izvještaja o izvršenim uslugama te u konačnici odobravanja </w:t>
      </w:r>
      <w:r>
        <w:t>računa od strane odgovorne osobe. Poštujući proceduru odobravanja računa  dogodi se da određeni računi nisu plaćeni sukladno navedenoj valuti. Također je čest slučaj da pojedini dobavljači na računima navode prekratak rok plaćanja koji se obzirom na proced</w:t>
      </w:r>
      <w:r>
        <w:t>ure unutar Agencije ne može poštivati. Najveći dio dospjelih obveza bilježi prekoračenje 1 do 60 dana.</w:t>
      </w:r>
    </w:p>
    <w:p w:rsidR="00525553" w:rsidRDefault="00525553"/>
    <w:sectPr w:rsidR="005255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553"/>
    <w:rsid w:val="00525553"/>
    <w:rsid w:val="008D303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858787-34BA-440A-ABCE-24DD750C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Danijela Grbić Mihaljević</dc:creator>
  <cp:lastModifiedBy>Danijela Grbić Mihaljević</cp:lastModifiedBy>
  <cp:revision>2</cp:revision>
  <dcterms:created xsi:type="dcterms:W3CDTF">2025-07-14T06:09:00Z</dcterms:created>
  <dcterms:modified xsi:type="dcterms:W3CDTF">2025-07-14T06:09:00Z</dcterms:modified>
</cp:coreProperties>
</file>